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0358B3" w:rsidP="00775209">
      <w:pPr>
        <w:spacing w:after="0" w:line="276" w:lineRule="auto"/>
        <w:ind w:right="113"/>
        <w:jc w:val="center"/>
        <w:rPr>
          <w:b/>
        </w:rPr>
      </w:pPr>
      <w:r>
        <w:rPr>
          <w:b/>
        </w:rPr>
        <w:t>BİRİNCİ BÖLÜM</w:t>
      </w:r>
    </w:p>
    <w:p w:rsidR="000358B3" w:rsidP="00775209">
      <w:pPr>
        <w:spacing w:after="0" w:line="276" w:lineRule="auto"/>
        <w:ind w:right="113"/>
        <w:jc w:val="center"/>
        <w:rPr>
          <w:b/>
        </w:rPr>
      </w:pPr>
      <w:r>
        <w:rPr>
          <w:b/>
        </w:rPr>
        <w:t>Amaç ve Kapsam, Dayanak ve Tanımlar</w:t>
      </w:r>
    </w:p>
    <w:p w:rsidR="00AE75CC" w:rsidP="00775209">
      <w:pPr>
        <w:spacing w:after="0" w:line="276" w:lineRule="auto"/>
        <w:ind w:left="952"/>
        <w:rPr>
          <w:b/>
        </w:rPr>
      </w:pPr>
    </w:p>
    <w:p w:rsidR="000358B3" w:rsidP="00775209">
      <w:pPr>
        <w:spacing w:after="0" w:line="276" w:lineRule="auto"/>
        <w:ind w:left="952"/>
        <w:rPr>
          <w:b/>
        </w:rPr>
      </w:pPr>
      <w:r>
        <w:rPr>
          <w:b/>
        </w:rPr>
        <w:t>Amaç ve Kapsam</w:t>
      </w:r>
    </w:p>
    <w:p w:rsidR="000358B3" w:rsidP="00775209">
      <w:pPr>
        <w:pStyle w:val="BodyText"/>
        <w:spacing w:line="276" w:lineRule="auto"/>
        <w:ind w:right="113"/>
        <w:jc w:val="both"/>
      </w:pPr>
      <w:r>
        <w:rPr>
          <w:b/>
        </w:rPr>
        <w:t xml:space="preserve">MADDE 1 – </w:t>
      </w:r>
      <w:r>
        <w:t>(1) Bu Yönerge, Sakarya Uygulamalı Bilimler Üniversitesinin lisans ve ön lisans programlarında uygulanacak olan yaz öğretimine ilişkin usul ve esasları düzenler.</w:t>
      </w:r>
    </w:p>
    <w:p w:rsidR="00775209" w:rsidP="00775209">
      <w:pPr>
        <w:pStyle w:val="Heading1"/>
        <w:spacing w:line="276" w:lineRule="auto"/>
        <w:jc w:val="both"/>
      </w:pPr>
      <w:bookmarkStart w:id="0" w:name="Dayanak"/>
      <w:bookmarkEnd w:id="0"/>
    </w:p>
    <w:p w:rsidR="000358B3" w:rsidP="00775209">
      <w:pPr>
        <w:pStyle w:val="Heading1"/>
        <w:spacing w:line="276" w:lineRule="auto"/>
        <w:jc w:val="both"/>
      </w:pPr>
      <w:r>
        <w:t>Dayanak</w:t>
      </w:r>
    </w:p>
    <w:p w:rsidR="000358B3" w:rsidP="00775209">
      <w:pPr>
        <w:pStyle w:val="BodyText"/>
        <w:tabs>
          <w:tab w:val="left" w:pos="9356"/>
        </w:tabs>
        <w:spacing w:line="276" w:lineRule="auto"/>
        <w:ind w:right="113"/>
        <w:jc w:val="both"/>
      </w:pPr>
      <w:r>
        <w:rPr>
          <w:b/>
        </w:rPr>
        <w:t xml:space="preserve">MADDE 2 – </w:t>
      </w:r>
      <w:r>
        <w:t>(1) Bu Yönerge, 2547 sayılı Yükseköğretim Kanununun 14. Maddesi ve “Sakarya Uygulamalı Bilimler Üniversitesi Ön lisans ve Lisans Eğitim-Öğretim ve Sınav Yönetmeliği” nin ilgili hükümlerine dayanılarak hazırlanmıştır.</w:t>
      </w:r>
    </w:p>
    <w:p w:rsidR="00775209" w:rsidP="00775209">
      <w:pPr>
        <w:pStyle w:val="BodyText"/>
        <w:spacing w:line="276" w:lineRule="auto"/>
        <w:ind w:right="266"/>
        <w:jc w:val="both"/>
      </w:pPr>
    </w:p>
    <w:p w:rsidR="000358B3" w:rsidP="00775209">
      <w:pPr>
        <w:pStyle w:val="Heading1"/>
        <w:spacing w:line="276" w:lineRule="auto"/>
        <w:jc w:val="both"/>
      </w:pPr>
      <w:bookmarkStart w:id="1" w:name="Tanımlar"/>
      <w:bookmarkEnd w:id="1"/>
      <w:r>
        <w:t>Tanımlar</w:t>
      </w:r>
    </w:p>
    <w:p w:rsidR="000358B3" w:rsidP="00775209">
      <w:pPr>
        <w:spacing w:after="0" w:line="276" w:lineRule="auto"/>
        <w:ind w:left="952"/>
      </w:pPr>
      <w:r>
        <w:rPr>
          <w:b/>
        </w:rPr>
        <w:t xml:space="preserve">MADDE 3 - </w:t>
      </w:r>
      <w:r>
        <w:t>(1) Bu Yönergede geçen;</w:t>
      </w:r>
    </w:p>
    <w:p w:rsidR="000358B3" w:rsidP="00775209">
      <w:pPr>
        <w:pStyle w:val="ListParagraph"/>
        <w:widowControl w:val="0"/>
        <w:numPr>
          <w:ilvl w:val="0"/>
          <w:numId w:val="8"/>
        </w:numPr>
        <w:shd w:val="clear" w:color="auto" w:fill="auto"/>
        <w:tabs>
          <w:tab w:val="left" w:pos="1299"/>
        </w:tabs>
        <w:autoSpaceDE w:val="0"/>
        <w:autoSpaceDN w:val="0"/>
        <w:spacing w:after="0" w:line="276" w:lineRule="auto"/>
        <w:contextualSpacing w:val="0"/>
        <w:rPr>
          <w:sz w:val="24"/>
        </w:rPr>
      </w:pPr>
      <w:r>
        <w:rPr>
          <w:sz w:val="24"/>
        </w:rPr>
        <w:t>Üniversite: Sakarya Uygulamalı Bilimler</w:t>
      </w:r>
      <w:r>
        <w:rPr>
          <w:spacing w:val="-11"/>
          <w:sz w:val="24"/>
        </w:rPr>
        <w:t xml:space="preserve"> </w:t>
      </w:r>
      <w:r>
        <w:rPr>
          <w:sz w:val="24"/>
        </w:rPr>
        <w:t>Üniversitesini,</w:t>
      </w:r>
    </w:p>
    <w:p w:rsidR="000358B3" w:rsidP="00775209">
      <w:pPr>
        <w:pStyle w:val="ListParagraph"/>
        <w:widowControl w:val="0"/>
        <w:numPr>
          <w:ilvl w:val="0"/>
          <w:numId w:val="8"/>
        </w:numPr>
        <w:shd w:val="clear" w:color="auto" w:fill="auto"/>
        <w:tabs>
          <w:tab w:val="left" w:pos="1311"/>
        </w:tabs>
        <w:autoSpaceDE w:val="0"/>
        <w:autoSpaceDN w:val="0"/>
        <w:spacing w:after="0" w:line="276" w:lineRule="auto"/>
        <w:ind w:left="1310" w:hanging="358"/>
        <w:contextualSpacing w:val="0"/>
        <w:rPr>
          <w:sz w:val="24"/>
        </w:rPr>
      </w:pPr>
      <w:r>
        <w:rPr>
          <w:sz w:val="24"/>
        </w:rPr>
        <w:t>Rektör: Sakarya Uygulamalı Bilimler Üniversitesi</w:t>
      </w:r>
      <w:r>
        <w:rPr>
          <w:spacing w:val="-49"/>
          <w:sz w:val="24"/>
        </w:rPr>
        <w:t xml:space="preserve"> </w:t>
      </w:r>
      <w:r>
        <w:rPr>
          <w:sz w:val="24"/>
        </w:rPr>
        <w:t>Rektörünü,</w:t>
      </w:r>
    </w:p>
    <w:p w:rsidR="000358B3" w:rsidP="00775209">
      <w:pPr>
        <w:pStyle w:val="ListParagraph"/>
        <w:widowControl w:val="0"/>
        <w:numPr>
          <w:ilvl w:val="0"/>
          <w:numId w:val="8"/>
        </w:numPr>
        <w:shd w:val="clear" w:color="auto" w:fill="auto"/>
        <w:tabs>
          <w:tab w:val="left" w:pos="1299"/>
        </w:tabs>
        <w:autoSpaceDE w:val="0"/>
        <w:autoSpaceDN w:val="0"/>
        <w:spacing w:after="0" w:line="276" w:lineRule="auto"/>
        <w:contextualSpacing w:val="0"/>
        <w:rPr>
          <w:sz w:val="24"/>
        </w:rPr>
      </w:pPr>
      <w:r>
        <w:rPr>
          <w:sz w:val="24"/>
        </w:rPr>
        <w:t>Senato:</w:t>
      </w:r>
      <w:r>
        <w:rPr>
          <w:spacing w:val="-16"/>
          <w:sz w:val="24"/>
        </w:rPr>
        <w:t xml:space="preserve"> </w:t>
      </w:r>
      <w:r>
        <w:rPr>
          <w:sz w:val="24"/>
        </w:rPr>
        <w:t>Sakarya</w:t>
      </w:r>
      <w:r>
        <w:rPr>
          <w:spacing w:val="-16"/>
          <w:sz w:val="24"/>
        </w:rPr>
        <w:t xml:space="preserve"> </w:t>
      </w:r>
      <w:r>
        <w:rPr>
          <w:sz w:val="24"/>
        </w:rPr>
        <w:t>Uygulamalı</w:t>
      </w:r>
      <w:r>
        <w:rPr>
          <w:spacing w:val="-15"/>
          <w:sz w:val="24"/>
        </w:rPr>
        <w:t xml:space="preserve"> </w:t>
      </w:r>
      <w:r>
        <w:rPr>
          <w:sz w:val="24"/>
        </w:rPr>
        <w:t>Bilimler</w:t>
      </w:r>
      <w:r>
        <w:rPr>
          <w:spacing w:val="-16"/>
          <w:sz w:val="24"/>
        </w:rPr>
        <w:t xml:space="preserve"> </w:t>
      </w:r>
      <w:r>
        <w:rPr>
          <w:sz w:val="24"/>
        </w:rPr>
        <w:t>Üniversitesi</w:t>
      </w:r>
      <w:r>
        <w:rPr>
          <w:spacing w:val="-17"/>
          <w:sz w:val="24"/>
        </w:rPr>
        <w:t xml:space="preserve"> </w:t>
      </w:r>
      <w:r>
        <w:rPr>
          <w:sz w:val="24"/>
        </w:rPr>
        <w:t>Senatosunu,</w:t>
      </w:r>
    </w:p>
    <w:p w:rsidR="000358B3" w:rsidP="00775209">
      <w:pPr>
        <w:pStyle w:val="BodyText"/>
        <w:spacing w:line="276" w:lineRule="auto"/>
        <w:ind w:right="113"/>
        <w:jc w:val="both"/>
      </w:pPr>
      <w:r>
        <w:t>ç) Birim: Sakarya Uygulamalı Bilimler Üniversitesine bağlı fakülte, yüksekokul, meslek yüksekokulunu,</w:t>
      </w:r>
    </w:p>
    <w:p w:rsidR="000358B3" w:rsidP="00775209">
      <w:pPr>
        <w:pStyle w:val="ListParagraph"/>
        <w:widowControl w:val="0"/>
        <w:numPr>
          <w:ilvl w:val="0"/>
          <w:numId w:val="8"/>
        </w:numPr>
        <w:shd w:val="clear" w:color="auto" w:fill="auto"/>
        <w:tabs>
          <w:tab w:val="left" w:pos="1299"/>
        </w:tabs>
        <w:autoSpaceDE w:val="0"/>
        <w:autoSpaceDN w:val="0"/>
        <w:spacing w:after="0" w:line="276" w:lineRule="auto"/>
        <w:ind w:left="100" w:right="4301" w:firstLine="852"/>
        <w:contextualSpacing w:val="0"/>
        <w:rPr>
          <w:sz w:val="24"/>
        </w:rPr>
      </w:pPr>
      <w:r>
        <w:rPr>
          <w:sz w:val="24"/>
        </w:rPr>
        <w:t>AKTS: Avrupa Kredi Transfer Sistemini, ifade</w:t>
      </w:r>
      <w:r>
        <w:rPr>
          <w:spacing w:val="-5"/>
          <w:sz w:val="24"/>
        </w:rPr>
        <w:t xml:space="preserve"> </w:t>
      </w:r>
      <w:r>
        <w:rPr>
          <w:sz w:val="24"/>
        </w:rPr>
        <w:t>eder.</w:t>
      </w:r>
    </w:p>
    <w:p w:rsidR="00BC46B7" w:rsidP="00775209">
      <w:pPr>
        <w:pStyle w:val="ListParagraph"/>
        <w:widowControl w:val="0"/>
        <w:shd w:val="clear" w:color="auto" w:fill="auto"/>
        <w:tabs>
          <w:tab w:val="left" w:pos="1299"/>
        </w:tabs>
        <w:autoSpaceDE w:val="0"/>
        <w:autoSpaceDN w:val="0"/>
        <w:spacing w:after="0" w:line="276" w:lineRule="auto"/>
        <w:ind w:left="952" w:right="4301"/>
        <w:contextualSpacing w:val="0"/>
        <w:rPr>
          <w:sz w:val="24"/>
        </w:rPr>
      </w:pPr>
    </w:p>
    <w:p w:rsidR="005A72B4" w:rsidP="00775209">
      <w:pPr>
        <w:pStyle w:val="Heading1"/>
        <w:spacing w:line="276" w:lineRule="auto"/>
        <w:ind w:left="1738" w:right="1800"/>
        <w:jc w:val="center"/>
      </w:pPr>
      <w:r>
        <w:t>İKİNCİ BÖLÜM</w:t>
      </w:r>
    </w:p>
    <w:p w:rsidR="005A72B4" w:rsidP="00775209">
      <w:pPr>
        <w:spacing w:after="0" w:line="276" w:lineRule="auto"/>
        <w:ind w:left="1740" w:right="1800"/>
        <w:jc w:val="center"/>
        <w:rPr>
          <w:b/>
        </w:rPr>
      </w:pPr>
      <w:r>
        <w:rPr>
          <w:b/>
        </w:rPr>
        <w:t>Yaz Öğretimi Genel Hükümler</w:t>
      </w:r>
    </w:p>
    <w:p w:rsidR="00AE75CC" w:rsidP="00775209">
      <w:pPr>
        <w:spacing w:after="0" w:line="276" w:lineRule="auto"/>
        <w:ind w:left="952"/>
        <w:rPr>
          <w:b/>
        </w:rPr>
      </w:pPr>
    </w:p>
    <w:p w:rsidR="005A72B4" w:rsidP="00775209">
      <w:pPr>
        <w:spacing w:after="0" w:line="276" w:lineRule="auto"/>
        <w:ind w:left="952"/>
        <w:rPr>
          <w:b/>
        </w:rPr>
      </w:pPr>
      <w:r>
        <w:rPr>
          <w:b/>
        </w:rPr>
        <w:t>Genel Hükümler</w:t>
      </w:r>
    </w:p>
    <w:p w:rsidR="005A72B4" w:rsidP="00775209">
      <w:pPr>
        <w:pStyle w:val="BodyText"/>
        <w:spacing w:line="276" w:lineRule="auto"/>
        <w:ind w:right="107"/>
        <w:jc w:val="both"/>
      </w:pPr>
      <w:r>
        <w:rPr>
          <w:b/>
        </w:rPr>
        <w:t>MADDE</w:t>
      </w:r>
      <w:r>
        <w:rPr>
          <w:b/>
          <w:spacing w:val="-9"/>
        </w:rPr>
        <w:t xml:space="preserve"> </w:t>
      </w:r>
      <w:r>
        <w:rPr>
          <w:b/>
        </w:rPr>
        <w:t>4</w:t>
      </w:r>
      <w:r>
        <w:rPr>
          <w:b/>
          <w:spacing w:val="-9"/>
        </w:rPr>
        <w:t xml:space="preserve"> </w:t>
      </w:r>
      <w:r>
        <w:t>–</w:t>
      </w:r>
      <w:r>
        <w:rPr>
          <w:spacing w:val="-10"/>
        </w:rPr>
        <w:t xml:space="preserve"> </w:t>
      </w:r>
      <w:r>
        <w:t>(1)</w:t>
      </w:r>
      <w:r>
        <w:rPr>
          <w:spacing w:val="-9"/>
        </w:rPr>
        <w:t xml:space="preserve"> </w:t>
      </w:r>
      <w:r>
        <w:t>Yaz</w:t>
      </w:r>
      <w:r>
        <w:rPr>
          <w:spacing w:val="-6"/>
        </w:rPr>
        <w:t xml:space="preserve"> </w:t>
      </w:r>
      <w:r>
        <w:t>öğretimi,</w:t>
      </w:r>
      <w:r>
        <w:rPr>
          <w:spacing w:val="-9"/>
        </w:rPr>
        <w:t xml:space="preserve"> </w:t>
      </w:r>
      <w:r>
        <w:t>Sakarya</w:t>
      </w:r>
      <w:r>
        <w:rPr>
          <w:spacing w:val="-8"/>
        </w:rPr>
        <w:t xml:space="preserve"> </w:t>
      </w:r>
      <w:r>
        <w:t>Uygulamalı</w:t>
      </w:r>
      <w:r>
        <w:rPr>
          <w:spacing w:val="-8"/>
        </w:rPr>
        <w:t xml:space="preserve"> </w:t>
      </w:r>
      <w:r>
        <w:t>Bilimler</w:t>
      </w:r>
      <w:r>
        <w:rPr>
          <w:spacing w:val="-10"/>
        </w:rPr>
        <w:t xml:space="preserve"> </w:t>
      </w:r>
      <w:r>
        <w:t>Üniversitesinin</w:t>
      </w:r>
      <w:r>
        <w:rPr>
          <w:spacing w:val="-9"/>
        </w:rPr>
        <w:t xml:space="preserve"> </w:t>
      </w:r>
      <w:r>
        <w:t>ön</w:t>
      </w:r>
      <w:r>
        <w:rPr>
          <w:spacing w:val="-12"/>
        </w:rPr>
        <w:t xml:space="preserve"> </w:t>
      </w:r>
      <w:r>
        <w:t>lisans</w:t>
      </w:r>
      <w:r>
        <w:rPr>
          <w:spacing w:val="1"/>
        </w:rPr>
        <w:t xml:space="preserve"> </w:t>
      </w:r>
      <w:r>
        <w:t>ve lisans programlarında uygulanır. Yaz öğretimi süresi, final sınav tarihleri hariç, beş (5)</w:t>
      </w:r>
      <w:r>
        <w:rPr>
          <w:spacing w:val="-42"/>
        </w:rPr>
        <w:t xml:space="preserve"> </w:t>
      </w:r>
      <w:r>
        <w:t>haftadır.</w:t>
      </w:r>
    </w:p>
    <w:p w:rsidR="005A72B4" w:rsidP="00775209">
      <w:pPr>
        <w:pStyle w:val="BodyText"/>
        <w:spacing w:line="276" w:lineRule="auto"/>
        <w:ind w:right="110"/>
        <w:jc w:val="both"/>
      </w:pPr>
      <w:r>
        <w:rPr>
          <w:b/>
        </w:rPr>
        <w:t xml:space="preserve">MADDE 5 </w:t>
      </w:r>
      <w:r>
        <w:t>– (1) Yaz öğretiminde açılacak dersler Güz Yarıyılı Final Sınavları başlama tarihinden önce web sayfalarından ilan edilir.</w:t>
      </w:r>
    </w:p>
    <w:p w:rsidR="005A72B4" w:rsidP="00775209">
      <w:pPr>
        <w:pStyle w:val="BodyText"/>
        <w:spacing w:line="276" w:lineRule="auto"/>
        <w:ind w:right="107"/>
        <w:jc w:val="both"/>
      </w:pPr>
      <w:r>
        <w:rPr>
          <w:b/>
        </w:rPr>
        <w:t xml:space="preserve">MADDE 6 </w:t>
      </w:r>
      <w:r>
        <w:t>– (1) Yaz öğretiminde açılacak dersler, bölümün/programın olumlu görüşü, fakülte/yüksekokul/meslek yüksekokulu yönetim kurulunun önerisi ve Senato kararı ile belirlenir.</w:t>
      </w:r>
    </w:p>
    <w:p w:rsidR="005A72B4" w:rsidP="00775209">
      <w:pPr>
        <w:pStyle w:val="ListParagraph"/>
        <w:widowControl w:val="0"/>
        <w:numPr>
          <w:ilvl w:val="0"/>
          <w:numId w:val="9"/>
        </w:numPr>
        <w:shd w:val="clear" w:color="auto" w:fill="auto"/>
        <w:tabs>
          <w:tab w:val="left" w:pos="1234"/>
        </w:tabs>
        <w:autoSpaceDE w:val="0"/>
        <w:autoSpaceDN w:val="0"/>
        <w:spacing w:after="0" w:line="276" w:lineRule="auto"/>
        <w:ind w:right="110" w:firstLine="852"/>
        <w:contextualSpacing w:val="0"/>
        <w:jc w:val="both"/>
        <w:rPr>
          <w:sz w:val="24"/>
        </w:rPr>
      </w:pPr>
      <w:r>
        <w:rPr>
          <w:sz w:val="24"/>
        </w:rPr>
        <w:t xml:space="preserve">Bölümde açılacak ders sayısı; Rektörlük ve eğitim birimince belirlenen ortak dersler dışında, </w:t>
      </w:r>
      <w:r>
        <w:rPr>
          <w:b/>
          <w:sz w:val="24"/>
          <w:u w:val="thick"/>
        </w:rPr>
        <w:t>15 ders</w:t>
      </w:r>
      <w:r>
        <w:rPr>
          <w:b/>
          <w:sz w:val="24"/>
        </w:rPr>
        <w:t xml:space="preserve"> </w:t>
      </w:r>
      <w:r>
        <w:rPr>
          <w:sz w:val="24"/>
        </w:rPr>
        <w:t>ile sınırlıdır. Mesleki Eğitim/Uygulama, İşletmede Mesleki Eğitim ve benzeri dersler yaz öğretiminde</w:t>
      </w:r>
      <w:r>
        <w:rPr>
          <w:spacing w:val="5"/>
          <w:sz w:val="24"/>
        </w:rPr>
        <w:t xml:space="preserve"> </w:t>
      </w:r>
      <w:r>
        <w:rPr>
          <w:sz w:val="24"/>
        </w:rPr>
        <w:t>açılamaz.</w:t>
      </w:r>
    </w:p>
    <w:p w:rsidR="005A72B4" w:rsidP="00775209">
      <w:pPr>
        <w:pStyle w:val="ListParagraph"/>
        <w:widowControl w:val="0"/>
        <w:numPr>
          <w:ilvl w:val="0"/>
          <w:numId w:val="9"/>
        </w:numPr>
        <w:shd w:val="clear" w:color="auto" w:fill="auto"/>
        <w:tabs>
          <w:tab w:val="left" w:pos="1234"/>
        </w:tabs>
        <w:autoSpaceDE w:val="0"/>
        <w:autoSpaceDN w:val="0"/>
        <w:spacing w:after="0" w:line="276" w:lineRule="auto"/>
        <w:ind w:right="112" w:firstLine="852"/>
        <w:contextualSpacing w:val="0"/>
        <w:jc w:val="both"/>
        <w:rPr>
          <w:sz w:val="24"/>
        </w:rPr>
      </w:pPr>
      <w:r>
        <w:rPr>
          <w:sz w:val="24"/>
        </w:rPr>
        <w:t>Eğitim biriminde açılacak ortak dersler dekanlık/müdürlük koordinasyonunda belirlenir.</w:t>
      </w:r>
    </w:p>
    <w:p w:rsidR="005A72B4" w:rsidP="00775209">
      <w:pPr>
        <w:pStyle w:val="ListParagraph"/>
        <w:widowControl w:val="0"/>
        <w:numPr>
          <w:ilvl w:val="0"/>
          <w:numId w:val="9"/>
        </w:numPr>
        <w:shd w:val="clear" w:color="auto" w:fill="auto"/>
        <w:tabs>
          <w:tab w:val="left" w:pos="1234"/>
        </w:tabs>
        <w:autoSpaceDE w:val="0"/>
        <w:autoSpaceDN w:val="0"/>
        <w:spacing w:after="0" w:line="276" w:lineRule="auto"/>
        <w:ind w:right="160" w:firstLine="852"/>
        <w:contextualSpacing w:val="0"/>
        <w:jc w:val="both"/>
        <w:rPr>
          <w:sz w:val="24"/>
        </w:rPr>
      </w:pPr>
      <w:r>
        <w:rPr>
          <w:sz w:val="24"/>
        </w:rPr>
        <w:t>Yaz öğretiminde açılacak Üniversite Ortak dersleri; Rektörlük koordinasyonunda belirlenir.</w:t>
      </w:r>
    </w:p>
    <w:p w:rsidR="005A72B4" w:rsidP="00775209">
      <w:pPr>
        <w:pStyle w:val="BodyText"/>
        <w:spacing w:line="276" w:lineRule="auto"/>
        <w:ind w:right="106" w:firstLine="893"/>
        <w:jc w:val="both"/>
      </w:pPr>
      <w:r>
        <w:rPr>
          <w:b/>
        </w:rPr>
        <w:t xml:space="preserve">MADDE 7 </w:t>
      </w:r>
      <w:r>
        <w:t>– (1) Yaz öğretiminde bir dersin açılabilmesi için o derse kayıtlı öğrenci sayısının en az 30 olması gerekir. Bir ders için birim yönetim kurulu kararı ile birden fazla grup oluşturulabilir. Ancak birden fazla grup oluşturulduğunda, bu gruplardaki öğrenci sayısı, teorik derslerde 60’tan, uygulamalı derslerde 40’tan az olamaz. Zorunlu hallerde bu sayılar Üniversite Yönetim Kurulunun onayıyla değiştirilebilir. Bitirme Çalışması ve Tasarım derslerinin açılabilmesi için o derse kayıtlı öğrenci sayısının en az 10 olması gerekir. Bitirme Çalışması ve Tasarım derslerinin gruplarındaki öğrenci sayısı, 10’dan az olamaz. Staj dersleri için kontenjan şartı aranmaz.</w:t>
      </w:r>
    </w:p>
    <w:p w:rsidR="00AE75CC" w:rsidP="00775209">
      <w:pPr>
        <w:pStyle w:val="BodyText"/>
        <w:spacing w:line="276" w:lineRule="auto"/>
        <w:ind w:right="106" w:firstLine="893"/>
        <w:jc w:val="both"/>
      </w:pPr>
    </w:p>
    <w:p w:rsidR="005A72B4" w:rsidRPr="005A72B4" w:rsidP="00775209">
      <w:pPr>
        <w:pStyle w:val="BodyText"/>
        <w:spacing w:line="276" w:lineRule="auto"/>
        <w:ind w:right="106" w:firstLine="893"/>
        <w:jc w:val="both"/>
      </w:pPr>
    </w:p>
    <w:p w:rsidR="00AE75CC" w:rsidP="00775209">
      <w:pPr>
        <w:pStyle w:val="Heading1"/>
        <w:spacing w:line="276" w:lineRule="auto"/>
        <w:jc w:val="both"/>
      </w:pPr>
      <w:r>
        <w:t>Derse Yazılma İşlemleri</w:t>
      </w:r>
    </w:p>
    <w:p w:rsidR="005A72B4" w:rsidRPr="00AE75CC" w:rsidP="00775209">
      <w:pPr>
        <w:pStyle w:val="Heading1"/>
        <w:spacing w:line="276" w:lineRule="auto"/>
        <w:jc w:val="both"/>
        <w:rPr>
          <w:b w:val="0"/>
          <w:bCs w:val="0"/>
        </w:rPr>
      </w:pPr>
      <w:r>
        <w:t xml:space="preserve">MADDE 8 – (1) </w:t>
      </w:r>
      <w:r w:rsidRPr="00AE75CC">
        <w:rPr>
          <w:b w:val="0"/>
          <w:bCs w:val="0"/>
        </w:rPr>
        <w:t>Derse yazılma işlemi; akademik takvimde ilan edilen tarihlerde yapılır.</w:t>
      </w:r>
    </w:p>
    <w:p w:rsidR="005A72B4" w:rsidP="00775209">
      <w:pPr>
        <w:pStyle w:val="BodyText"/>
        <w:spacing w:line="276" w:lineRule="auto"/>
        <w:ind w:left="142" w:firstLine="810"/>
        <w:jc w:val="both"/>
      </w:pPr>
      <w:r>
        <w:t>(2) Yaz öğretimi işleyiş süreci her yıl yaz öğretimi başlamadan önce Öğrenci İşleri Daire Başkanlığı tarafından ilan edilir.</w:t>
      </w:r>
    </w:p>
    <w:p w:rsidR="005A72B4" w:rsidP="00775209">
      <w:pPr>
        <w:pStyle w:val="BodyText"/>
        <w:spacing w:line="276" w:lineRule="auto"/>
        <w:ind w:right="153"/>
        <w:jc w:val="both"/>
      </w:pPr>
      <w:r>
        <w:rPr>
          <w:b/>
        </w:rPr>
        <w:t xml:space="preserve">MADDE 9 </w:t>
      </w:r>
      <w:r>
        <w:t xml:space="preserve">– (1) Yaz öğretiminde bir öğrenci, çakışma olmayacak şekilde kurum içi- kurum dışı (Staj, Bitirme/Tasarım çalışması dersleri hariç) toplam en fazla </w:t>
      </w:r>
      <w:r>
        <w:rPr>
          <w:b/>
        </w:rPr>
        <w:t xml:space="preserve">15 birim saat veya dört (4) ders alabilir. </w:t>
      </w:r>
      <w:r>
        <w:t xml:space="preserve">Devam şartı sağlanmış derslerde çakışma olması durumunda derse yazılma yapılabilir. </w:t>
      </w:r>
    </w:p>
    <w:p w:rsidR="005A72B4" w:rsidP="00775209">
      <w:pPr>
        <w:pStyle w:val="BodyText"/>
        <w:spacing w:line="276" w:lineRule="auto"/>
        <w:ind w:right="152"/>
        <w:jc w:val="both"/>
      </w:pPr>
      <w:r>
        <w:rPr>
          <w:b/>
        </w:rPr>
        <w:t xml:space="preserve">MADDE 10 </w:t>
      </w:r>
      <w:r>
        <w:t>– (1) Öğrenciler Yaz Öğretiminde alt yarıyıllara ait hiç almadığı, alıp da başarısız olduğu, geçip de yükseltmek istediği dersleri de alabilir. Bu derslerden aldığı son not geçerlidir. Yaz öğretimi sonunda alınan başarı notları yüzde on sıralamasını değiştirmez.</w:t>
      </w:r>
    </w:p>
    <w:p w:rsidR="005A72B4" w:rsidP="00775209">
      <w:pPr>
        <w:pStyle w:val="BodyText"/>
        <w:spacing w:line="276" w:lineRule="auto"/>
        <w:ind w:right="103"/>
        <w:jc w:val="both"/>
      </w:pPr>
      <w:r>
        <w:rPr>
          <w:b/>
        </w:rPr>
        <w:t xml:space="preserve">MADDE 11 – </w:t>
      </w:r>
      <w:r>
        <w:t>(1) Bahar Yarıyılı sonunda bulunduğu yarıyıla kadar alması gereken tüm dersleri almış ve başarmış olmak kaydıyla ağırlıklı genel not ortalaması 2,50 ve üzeri olan ön lisans ve lisans öğrencileri yaz okulunda bir üst sınıftan (Bitirme Çalışması ve Tasarım dersleri hariç) ders alabilir.</w:t>
      </w:r>
    </w:p>
    <w:p w:rsidR="005A72B4" w:rsidP="00775209">
      <w:pPr>
        <w:pStyle w:val="BodyText"/>
        <w:spacing w:line="276" w:lineRule="auto"/>
        <w:ind w:right="107"/>
        <w:jc w:val="both"/>
      </w:pPr>
      <w:r>
        <w:rPr>
          <w:b/>
        </w:rPr>
        <w:t xml:space="preserve">MADDE 12 </w:t>
      </w:r>
      <w:r>
        <w:t>– (1) Öğrenciler; Sakarya Uygulamalı Bilimler Üniversitesi’ndeki başka bölüm veya programlardaki ders/dersleri, öğrenim çıktısı ve içeriği uygun olmak kaydıyla  Bölüm Başkanlığının uygun görüşü ile</w:t>
      </w:r>
      <w:r>
        <w:rPr>
          <w:spacing w:val="1"/>
        </w:rPr>
        <w:t xml:space="preserve"> </w:t>
      </w:r>
      <w:r>
        <w:t>alabilirler.</w:t>
      </w:r>
    </w:p>
    <w:p w:rsidR="005A72B4" w:rsidP="00775209">
      <w:pPr>
        <w:pStyle w:val="BodyText"/>
        <w:spacing w:line="276" w:lineRule="auto"/>
        <w:ind w:right="105"/>
        <w:jc w:val="both"/>
      </w:pPr>
      <w:r>
        <w:rPr>
          <w:b/>
        </w:rPr>
        <w:t>MADDE 13</w:t>
      </w:r>
      <w:r>
        <w:t xml:space="preserve">– (1) Öğrenciler Sakarya Uygulamalı Bilimler Üniversitesi’nde açılmayan ders/dersleri, öğrenim çıktısı, içeriği ve AKTS veya ders saati aynı olmak ve  programının ÖSYM taban puanına (yerleştirme yılı) eşit veya daha yüksek olması şartı ile </w:t>
      </w:r>
      <w:r>
        <w:rPr>
          <w:b/>
        </w:rPr>
        <w:t xml:space="preserve">Madde 9’da belirtilen kurallar dâhilinde </w:t>
      </w:r>
      <w:r>
        <w:t>bölüm kurulunun ve ilgili birimin yönetim kurulu kararı ile diğer üniversitelerden</w:t>
      </w:r>
      <w:r>
        <w:rPr>
          <w:spacing w:val="-9"/>
        </w:rPr>
        <w:t xml:space="preserve"> </w:t>
      </w:r>
      <w:r>
        <w:t>alabilirler.</w:t>
      </w:r>
    </w:p>
    <w:p w:rsidR="00274C61" w:rsidP="00775209">
      <w:pPr>
        <w:pStyle w:val="BodyText"/>
        <w:spacing w:line="276" w:lineRule="auto"/>
        <w:ind w:right="109"/>
        <w:jc w:val="both"/>
      </w:pPr>
      <w:r>
        <w:rPr>
          <w:b/>
        </w:rPr>
        <w:t xml:space="preserve">MADDE 14 </w:t>
      </w:r>
      <w:r>
        <w:t>– (1) Yaz Öğretimi başlangıç tarihi itibariyle Genel Not Ortalaması 1,8 şartını sağlayan öğrenciler Bitirme Çalışmasına veya Tasarım dersinden birine yazılabileceklerdir. Tasarım dersi için 1,8 şartı</w:t>
      </w:r>
      <w:r>
        <w:rPr>
          <w:spacing w:val="-2"/>
        </w:rPr>
        <w:t xml:space="preserve"> </w:t>
      </w:r>
      <w:r>
        <w:t>aranmaz.</w:t>
      </w:r>
    </w:p>
    <w:p w:rsidR="00A6081E" w:rsidP="00775209">
      <w:pPr>
        <w:pStyle w:val="BodyText"/>
        <w:spacing w:line="276" w:lineRule="auto"/>
        <w:ind w:right="153"/>
        <w:jc w:val="both"/>
      </w:pPr>
      <w:r>
        <w:rPr>
          <w:b/>
        </w:rPr>
        <w:t xml:space="preserve">MADDE 15 </w:t>
      </w:r>
      <w:r>
        <w:t xml:space="preserve">– (1) Yaz Öğretimi başlangıç tarihi itibariyle </w:t>
      </w:r>
      <w:r w:rsidRPr="00274C61">
        <w:rPr>
          <w:b/>
          <w:bCs/>
        </w:rPr>
        <w:t>mezun durumdaki öğrenciler</w:t>
      </w:r>
      <w:r>
        <w:t xml:space="preserve"> Genel Not Ortalaması </w:t>
      </w:r>
      <w:r w:rsidRPr="00274C61">
        <w:rPr>
          <w:b/>
          <w:bCs/>
        </w:rPr>
        <w:t>1,8</w:t>
      </w:r>
      <w:r>
        <w:t xml:space="preserve"> şartını sağlaması koşulu ile Yaz Öğretiminde </w:t>
      </w:r>
      <w:r w:rsidRPr="00274C61">
        <w:rPr>
          <w:b/>
          <w:bCs/>
        </w:rPr>
        <w:t>Bitirme Çalışması ve Tasarı</w:t>
      </w:r>
      <w:r>
        <w:t>m dersinin her ikisine de yazılabileceklerdir.</w:t>
      </w:r>
    </w:p>
    <w:p w:rsidR="00751DE3" w:rsidP="00775209">
      <w:pPr>
        <w:pStyle w:val="BodyText"/>
        <w:spacing w:line="276" w:lineRule="auto"/>
        <w:ind w:right="108"/>
        <w:jc w:val="both"/>
      </w:pPr>
      <w:r>
        <w:t>(2) Bitirme Çalışması veya Tasarım dersi teslim tarihleri bir sonraki eğitim-öğretim yılı akademik takviminde belirtilen önceki öğrenimlerin kazanılması sınavları başvuru tarihlerinde, sınavı ise önceki öğrenimlerin kazanılması sınavları tarihlerinde yapılır. Bitirme ve Tasarım derslerine üniversite dışından öğrenci kabul edilmez.</w:t>
      </w:r>
    </w:p>
    <w:p w:rsidR="00751DE3" w:rsidP="00775209">
      <w:pPr>
        <w:pStyle w:val="BodyText"/>
        <w:spacing w:line="276" w:lineRule="auto"/>
        <w:ind w:right="109"/>
        <w:jc w:val="both"/>
      </w:pPr>
      <w:r>
        <w:rPr>
          <w:b/>
        </w:rPr>
        <w:t xml:space="preserve">MADDE 16 </w:t>
      </w:r>
      <w:r>
        <w:t>– (1) Yaz Öğretimi başlangıç tarihi itibariyle tüm derslerinden başarılı olmuş ve sadece yaz stajı dersi kalmış olan mezun durumundaki öğrenciler, Yaz Stajı Dersine, ilgili bölümün koordinasyonunda yazılabilirler. Staj derslerine üniversite dışından öğrenci kabul edilmez.</w:t>
      </w:r>
    </w:p>
    <w:p w:rsidR="00BC46B7" w:rsidP="00775209">
      <w:pPr>
        <w:pStyle w:val="Heading1"/>
        <w:spacing w:line="276" w:lineRule="auto"/>
      </w:pPr>
    </w:p>
    <w:p w:rsidR="00751DE3" w:rsidP="00775209">
      <w:pPr>
        <w:pStyle w:val="Heading1"/>
        <w:spacing w:line="276" w:lineRule="auto"/>
      </w:pPr>
      <w:r>
        <w:t>Başarı Sıralaması ve Not Ortalamaları</w:t>
      </w:r>
    </w:p>
    <w:p w:rsidR="00751DE3" w:rsidP="00775209">
      <w:pPr>
        <w:pStyle w:val="BodyText"/>
        <w:spacing w:line="276" w:lineRule="auto"/>
        <w:ind w:right="107"/>
        <w:jc w:val="both"/>
      </w:pPr>
      <w:r>
        <w:rPr>
          <w:b/>
        </w:rPr>
        <w:t xml:space="preserve">MADDE 17 </w:t>
      </w:r>
      <w:r>
        <w:t>– (1) Ara sınıf öğrencilerinin başarı sıralaması, bahar yarıyılı sonunda alınan notlar ile belirlenir. Yaz öğretimi sonunda alınan notlar genel not ortalamasına dahil edilir. Fakat başarı sıralamasını değiştirmez.</w:t>
      </w:r>
    </w:p>
    <w:p w:rsidR="00751DE3" w:rsidP="00775209">
      <w:pPr>
        <w:pStyle w:val="BodyText"/>
        <w:spacing w:line="276" w:lineRule="auto"/>
        <w:ind w:right="111"/>
        <w:jc w:val="both"/>
      </w:pPr>
      <w:r>
        <w:rPr>
          <w:b/>
        </w:rPr>
        <w:t xml:space="preserve">MADDE 18 </w:t>
      </w:r>
      <w:r>
        <w:t>– (1) Yaz öğretimi sonunda mezun olan öğrencilerin genel not  ortalamaları, üniversite mezuniyet derecelerini</w:t>
      </w:r>
      <w:r>
        <w:rPr>
          <w:spacing w:val="-4"/>
        </w:rPr>
        <w:t xml:space="preserve"> </w:t>
      </w:r>
      <w:r>
        <w:t>etkilemez.</w:t>
      </w:r>
    </w:p>
    <w:p w:rsidR="00775209" w:rsidP="00775209">
      <w:pPr>
        <w:pStyle w:val="BodyText"/>
        <w:spacing w:line="276" w:lineRule="auto"/>
        <w:ind w:right="111"/>
        <w:jc w:val="both"/>
      </w:pPr>
    </w:p>
    <w:p w:rsidR="00751DE3" w:rsidP="00775209">
      <w:pPr>
        <w:pStyle w:val="Heading1"/>
        <w:spacing w:line="276" w:lineRule="auto"/>
      </w:pPr>
      <w:r>
        <w:t>Yaz Öğretimi Ücretleri</w:t>
      </w:r>
    </w:p>
    <w:p w:rsidR="00751DE3" w:rsidP="00775209">
      <w:pPr>
        <w:pStyle w:val="BodyText"/>
        <w:spacing w:line="276" w:lineRule="auto"/>
        <w:ind w:left="952" w:firstLine="0"/>
      </w:pPr>
      <w:r>
        <w:rPr>
          <w:b/>
        </w:rPr>
        <w:t xml:space="preserve">MADDE 19 </w:t>
      </w:r>
      <w:r>
        <w:t>– (1) Yaz öğretimi ders ücretleri eğitim birimi bazında ödenir.</w:t>
      </w:r>
    </w:p>
    <w:p w:rsidR="00BC46B7" w:rsidP="00775209">
      <w:pPr>
        <w:pStyle w:val="BodyText"/>
        <w:spacing w:line="276" w:lineRule="auto"/>
        <w:ind w:right="151"/>
        <w:jc w:val="both"/>
      </w:pPr>
      <w:r w:rsidR="00AE75CC">
        <w:t>(2) Yaz öğretiminde ödenecek tutarlar ve ödeme şekli her yıl yaz öğretimi başlamadan önce ÜYK ve senato kararıyla belirlenerek ilan edilir. Yabancı uyruklu öğrencilere farklı üniversiteden gelecek öğrencilerin ücret miktarı uygulanır.</w:t>
      </w:r>
    </w:p>
    <w:p w:rsidR="00AE75CC" w:rsidP="00775209">
      <w:pPr>
        <w:pStyle w:val="BodyText"/>
        <w:spacing w:line="276" w:lineRule="auto"/>
        <w:ind w:right="151"/>
        <w:jc w:val="both"/>
      </w:pPr>
    </w:p>
    <w:p w:rsidR="00751DE3" w:rsidP="00775209">
      <w:pPr>
        <w:pStyle w:val="Heading1"/>
        <w:spacing w:line="276" w:lineRule="auto"/>
      </w:pPr>
      <w:r>
        <w:t>Farklı Üniversiteden Gelecek Öğrencilerin Ders Alma ve Ücret İşlemleri</w:t>
      </w:r>
    </w:p>
    <w:p w:rsidR="00751DE3" w:rsidP="00775209">
      <w:pPr>
        <w:pStyle w:val="BodyText"/>
        <w:spacing w:line="276" w:lineRule="auto"/>
        <w:ind w:right="107"/>
        <w:jc w:val="both"/>
      </w:pPr>
      <w:r>
        <w:rPr>
          <w:b/>
        </w:rPr>
        <w:t xml:space="preserve">MADDE 20 </w:t>
      </w:r>
      <w:r>
        <w:t>– (1) Diğer Üniversitelerden gelecek öğrenciler Üniversitelerince verilecek Yönetim Kurulu Kararı ile yaz öğretiminde belirlenen esaslar doğrultusunda I. Öğretim ücretinin üç (3) katını ödemek kaydıyla yaz okulunda açılmış olan derslere kontenjan dahilinde yazılabilirler. Yaz Öğretiminde alınan başarı notları Üniversitemiz öğretim ve sınav yönetmeliklerinin ilgili maddesi kapsamında değerlendirilir.</w:t>
      </w:r>
    </w:p>
    <w:p w:rsidR="00775209" w:rsidP="00775209">
      <w:pPr>
        <w:pStyle w:val="BodyText"/>
        <w:spacing w:line="276" w:lineRule="auto"/>
        <w:ind w:right="107"/>
        <w:jc w:val="both"/>
      </w:pPr>
    </w:p>
    <w:p w:rsidR="00751DE3" w:rsidP="00775209">
      <w:pPr>
        <w:pStyle w:val="Heading1"/>
        <w:spacing w:line="276" w:lineRule="auto"/>
      </w:pPr>
      <w:r>
        <w:t>Dersten Çekilme</w:t>
      </w:r>
    </w:p>
    <w:p w:rsidR="00751DE3" w:rsidP="00775209">
      <w:pPr>
        <w:pStyle w:val="BodyText"/>
        <w:spacing w:line="276" w:lineRule="auto"/>
        <w:ind w:right="107"/>
        <w:jc w:val="both"/>
      </w:pPr>
      <w:r>
        <w:rPr>
          <w:b/>
        </w:rPr>
        <w:t xml:space="preserve">MADDE 21 </w:t>
      </w:r>
      <w:r>
        <w:t>– (1) Yaz öğretiminde açılan derse yazılma yapan öğrenciler, en geç yaz öğretiminin ikinci haftasının son mesai gününe kadar dersten çekilme dilekçelerini birimlerine teslim ederek, dersten çekilebilirler. Ancak açılan dersten çıkmak isteyen öğrenciye (üniversite dışından gelen öğrenciler de dahil)ücret iadesi yapılmaz.</w:t>
      </w:r>
    </w:p>
    <w:p w:rsidR="00751DE3" w:rsidP="00775209">
      <w:pPr>
        <w:pStyle w:val="BodyText"/>
        <w:spacing w:line="276" w:lineRule="auto"/>
        <w:ind w:right="151"/>
        <w:jc w:val="both"/>
      </w:pPr>
    </w:p>
    <w:p w:rsidR="00751DE3" w:rsidP="00775209">
      <w:pPr>
        <w:pStyle w:val="Heading1"/>
        <w:spacing w:line="276" w:lineRule="auto"/>
        <w:ind w:left="1742" w:right="1754"/>
        <w:jc w:val="center"/>
      </w:pPr>
      <w:r>
        <w:t>ÜÇÜNCÜ BÖLÜM</w:t>
      </w:r>
    </w:p>
    <w:p w:rsidR="00751DE3" w:rsidP="00775209">
      <w:pPr>
        <w:spacing w:after="0" w:line="276" w:lineRule="auto"/>
        <w:ind w:left="1742" w:right="1751"/>
        <w:jc w:val="center"/>
        <w:rPr>
          <w:b/>
        </w:rPr>
      </w:pPr>
      <w:r>
        <w:rPr>
          <w:b/>
        </w:rPr>
        <w:t>Çeşitli ve Son Hükümler</w:t>
      </w:r>
    </w:p>
    <w:p w:rsidR="00751DE3" w:rsidP="00775209">
      <w:pPr>
        <w:pStyle w:val="BodyText"/>
        <w:spacing w:line="276" w:lineRule="auto"/>
        <w:ind w:left="0" w:firstLine="0"/>
        <w:rPr>
          <w:b/>
        </w:rPr>
      </w:pPr>
    </w:p>
    <w:p w:rsidR="00751DE3" w:rsidP="00775209">
      <w:pPr>
        <w:spacing w:after="0" w:line="276" w:lineRule="auto"/>
        <w:ind w:left="952"/>
        <w:rPr>
          <w:b/>
        </w:rPr>
      </w:pPr>
      <w:r>
        <w:rPr>
          <w:b/>
        </w:rPr>
        <w:t>Yönergede hüküm bulunmayan hususlar</w:t>
      </w:r>
    </w:p>
    <w:p w:rsidR="00751DE3" w:rsidP="00775209">
      <w:pPr>
        <w:pStyle w:val="BodyText"/>
        <w:spacing w:line="276" w:lineRule="auto"/>
        <w:ind w:right="113"/>
        <w:jc w:val="both"/>
      </w:pPr>
      <w:r>
        <w:rPr>
          <w:b/>
        </w:rPr>
        <w:t xml:space="preserve">MADDE 22 - </w:t>
      </w:r>
      <w:r>
        <w:t>(1) Bu Yönergede hüküm bulunmayan hususlarda, ilgili mevzuat hükümleri ve Senato kararları uygulanır.</w:t>
      </w:r>
    </w:p>
    <w:p w:rsidR="00775209" w:rsidP="00775209">
      <w:pPr>
        <w:pStyle w:val="BodyText"/>
        <w:spacing w:line="276" w:lineRule="auto"/>
        <w:ind w:right="972"/>
      </w:pPr>
    </w:p>
    <w:p w:rsidR="00751DE3" w:rsidP="00775209">
      <w:pPr>
        <w:pStyle w:val="Heading1"/>
        <w:spacing w:line="276" w:lineRule="auto"/>
      </w:pPr>
      <w:bookmarkStart w:id="2" w:name="Yürürlük"/>
      <w:bookmarkEnd w:id="2"/>
      <w:r>
        <w:t>Yürürlük</w:t>
      </w:r>
    </w:p>
    <w:p w:rsidR="00751DE3" w:rsidP="00775209">
      <w:pPr>
        <w:pStyle w:val="BodyText"/>
        <w:spacing w:line="276" w:lineRule="auto"/>
        <w:ind w:left="952" w:firstLine="0"/>
      </w:pPr>
      <w:r>
        <w:rPr>
          <w:b/>
        </w:rPr>
        <w:t xml:space="preserve">MADDE 23 </w:t>
      </w:r>
      <w:r>
        <w:t>- (1) Bu Yönerge, Senato tarafından kabul edildiği tarihte yürürlüğe girer.</w:t>
      </w:r>
    </w:p>
    <w:p w:rsidR="00775209" w:rsidP="00775209">
      <w:pPr>
        <w:pStyle w:val="BodyText"/>
        <w:spacing w:line="276" w:lineRule="auto"/>
        <w:ind w:left="952" w:firstLine="0"/>
      </w:pPr>
    </w:p>
    <w:p w:rsidR="00751DE3" w:rsidP="00775209">
      <w:pPr>
        <w:pStyle w:val="Heading1"/>
        <w:spacing w:line="276" w:lineRule="auto"/>
      </w:pPr>
      <w:bookmarkStart w:id="3" w:name="Yürütme"/>
      <w:bookmarkEnd w:id="3"/>
      <w:r>
        <w:t>Yürütme</w:t>
      </w:r>
    </w:p>
    <w:p w:rsidR="00751DE3" w:rsidP="00775209">
      <w:pPr>
        <w:pStyle w:val="BodyText"/>
        <w:spacing w:line="276" w:lineRule="auto"/>
        <w:ind w:right="113"/>
        <w:jc w:val="both"/>
      </w:pPr>
      <w:r>
        <w:rPr>
          <w:b/>
        </w:rPr>
        <w:t xml:space="preserve">MADDE 24 - </w:t>
      </w:r>
      <w:r>
        <w:t>(1) Bu Yönerge hükümlerini Sakarya Uygulamalı Bilimler Üniversitesi Rektörü yürütür.</w:t>
      </w:r>
    </w:p>
    <w:p w:rsidR="00BC46B7" w:rsidP="00775209">
      <w:pPr>
        <w:pStyle w:val="BodyText"/>
        <w:spacing w:line="276" w:lineRule="auto"/>
        <w:ind w:right="366"/>
        <w:jc w:val="both"/>
      </w:pPr>
    </w:p>
    <w:p w:rsidR="00AE75CC" w:rsidP="00775209">
      <w:pPr>
        <w:pStyle w:val="BodyText"/>
        <w:spacing w:line="276" w:lineRule="auto"/>
        <w:ind w:right="366"/>
      </w:pPr>
    </w:p>
    <w:tbl>
      <w:tblPr>
        <w:tblStyle w:val="TableNormal0"/>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099"/>
        <w:gridCol w:w="3053"/>
      </w:tblGrid>
      <w:tr w:rsidTr="000C5F3E">
        <w:tblPrEx>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465"/>
        </w:trPr>
        <w:tc>
          <w:tcPr>
            <w:tcW w:w="6714" w:type="dxa"/>
            <w:gridSpan w:val="3"/>
          </w:tcPr>
          <w:p w:rsidR="00BC46B7" w:rsidP="00775209">
            <w:pPr>
              <w:pStyle w:val="TableParagraph"/>
              <w:spacing w:line="276" w:lineRule="auto"/>
              <w:ind w:left="2039"/>
              <w:rPr>
                <w:b/>
                <w:sz w:val="24"/>
              </w:rPr>
            </w:pPr>
            <w:r>
              <w:rPr>
                <w:b/>
                <w:sz w:val="24"/>
              </w:rPr>
              <w:t>Yönergenin Yayımlandığı</w:t>
            </w:r>
          </w:p>
        </w:tc>
      </w:tr>
      <w:tr w:rsidTr="000C5F3E">
        <w:tblPrEx>
          <w:tblW w:w="0" w:type="auto"/>
          <w:tblInd w:w="1401" w:type="dxa"/>
          <w:tblLayout w:type="fixed"/>
          <w:tblLook w:val="01E0"/>
        </w:tblPrEx>
        <w:trPr>
          <w:trHeight w:val="462"/>
        </w:trPr>
        <w:tc>
          <w:tcPr>
            <w:tcW w:w="3661" w:type="dxa"/>
            <w:gridSpan w:val="2"/>
          </w:tcPr>
          <w:p w:rsidR="00BC46B7" w:rsidP="00775209">
            <w:pPr>
              <w:pStyle w:val="TableParagraph"/>
              <w:spacing w:line="276" w:lineRule="auto"/>
              <w:ind w:left="1268" w:right="1246"/>
              <w:jc w:val="center"/>
              <w:rPr>
                <w:b/>
                <w:sz w:val="24"/>
              </w:rPr>
            </w:pPr>
            <w:r>
              <w:rPr>
                <w:b/>
                <w:sz w:val="24"/>
              </w:rPr>
              <w:t>Tarihi</w:t>
            </w:r>
          </w:p>
        </w:tc>
        <w:tc>
          <w:tcPr>
            <w:tcW w:w="3053" w:type="dxa"/>
          </w:tcPr>
          <w:p w:rsidR="00BC46B7" w:rsidP="00775209">
            <w:pPr>
              <w:pStyle w:val="TableParagraph"/>
              <w:spacing w:line="276" w:lineRule="auto"/>
              <w:ind w:left="1217" w:right="1184"/>
              <w:jc w:val="center"/>
              <w:rPr>
                <w:b/>
                <w:sz w:val="24"/>
              </w:rPr>
            </w:pPr>
            <w:r>
              <w:rPr>
                <w:b/>
                <w:sz w:val="24"/>
              </w:rPr>
              <w:t>Sayısı</w:t>
            </w:r>
          </w:p>
        </w:tc>
      </w:tr>
      <w:tr w:rsidTr="000C5F3E">
        <w:tblPrEx>
          <w:tblW w:w="0" w:type="auto"/>
          <w:tblInd w:w="1401" w:type="dxa"/>
          <w:tblLayout w:type="fixed"/>
          <w:tblLook w:val="01E0"/>
        </w:tblPrEx>
        <w:trPr>
          <w:trHeight w:val="465"/>
        </w:trPr>
        <w:tc>
          <w:tcPr>
            <w:tcW w:w="3661" w:type="dxa"/>
            <w:gridSpan w:val="2"/>
          </w:tcPr>
          <w:p w:rsidR="00BC46B7" w:rsidP="00775209">
            <w:pPr>
              <w:pStyle w:val="TableParagraph"/>
              <w:spacing w:line="276" w:lineRule="auto"/>
              <w:ind w:left="1268" w:right="1262"/>
              <w:jc w:val="center"/>
              <w:rPr>
                <w:sz w:val="24"/>
              </w:rPr>
            </w:pPr>
            <w:r>
              <w:rPr>
                <w:sz w:val="24"/>
              </w:rPr>
              <w:t>29.12.2022</w:t>
            </w:r>
          </w:p>
        </w:tc>
        <w:tc>
          <w:tcPr>
            <w:tcW w:w="3053" w:type="dxa"/>
          </w:tcPr>
          <w:p w:rsidR="00BC46B7" w:rsidP="00775209">
            <w:pPr>
              <w:pStyle w:val="TableParagraph"/>
              <w:spacing w:line="276" w:lineRule="auto"/>
              <w:ind w:left="1191" w:right="1184"/>
              <w:jc w:val="center"/>
              <w:rPr>
                <w:sz w:val="24"/>
              </w:rPr>
            </w:pPr>
            <w:r>
              <w:rPr>
                <w:sz w:val="24"/>
              </w:rPr>
              <w:t>119</w:t>
            </w:r>
          </w:p>
        </w:tc>
      </w:tr>
      <w:tr w:rsidTr="000C5F3E">
        <w:tblPrEx>
          <w:tblW w:w="0" w:type="auto"/>
          <w:tblInd w:w="1401" w:type="dxa"/>
          <w:tblLayout w:type="fixed"/>
          <w:tblLook w:val="01E0"/>
        </w:tblPrEx>
        <w:trPr>
          <w:trHeight w:val="465"/>
        </w:trPr>
        <w:tc>
          <w:tcPr>
            <w:tcW w:w="6714" w:type="dxa"/>
            <w:gridSpan w:val="3"/>
          </w:tcPr>
          <w:p w:rsidR="00BC46B7" w:rsidP="00775209">
            <w:pPr>
              <w:pStyle w:val="TableParagraph"/>
              <w:spacing w:line="276" w:lineRule="auto"/>
              <w:ind w:left="1831"/>
              <w:rPr>
                <w:b/>
                <w:sz w:val="24"/>
              </w:rPr>
            </w:pPr>
            <w:r>
              <w:rPr>
                <w:b/>
                <w:sz w:val="24"/>
              </w:rPr>
              <w:t>Yönergede Değişiklik Yapılan</w:t>
            </w:r>
          </w:p>
        </w:tc>
      </w:tr>
      <w:tr w:rsidTr="000C5F3E">
        <w:tblPrEx>
          <w:tblW w:w="0" w:type="auto"/>
          <w:tblInd w:w="1401" w:type="dxa"/>
          <w:tblLayout w:type="fixed"/>
          <w:tblLook w:val="01E0"/>
        </w:tblPrEx>
        <w:trPr>
          <w:trHeight w:val="465"/>
        </w:trPr>
        <w:tc>
          <w:tcPr>
            <w:tcW w:w="3661" w:type="dxa"/>
            <w:gridSpan w:val="2"/>
          </w:tcPr>
          <w:p w:rsidR="00BC46B7" w:rsidP="00775209">
            <w:pPr>
              <w:pStyle w:val="TableParagraph"/>
              <w:spacing w:line="276" w:lineRule="auto"/>
              <w:ind w:left="1268" w:right="1246"/>
              <w:jc w:val="center"/>
              <w:rPr>
                <w:b/>
                <w:sz w:val="24"/>
              </w:rPr>
            </w:pPr>
            <w:r>
              <w:rPr>
                <w:b/>
                <w:sz w:val="24"/>
              </w:rPr>
              <w:t>Tarihi</w:t>
            </w:r>
          </w:p>
        </w:tc>
        <w:tc>
          <w:tcPr>
            <w:tcW w:w="3053" w:type="dxa"/>
          </w:tcPr>
          <w:p w:rsidR="00BC46B7" w:rsidP="00775209">
            <w:pPr>
              <w:pStyle w:val="TableParagraph"/>
              <w:spacing w:line="276" w:lineRule="auto"/>
              <w:ind w:left="1217" w:right="1184"/>
              <w:jc w:val="center"/>
              <w:rPr>
                <w:b/>
                <w:sz w:val="24"/>
              </w:rPr>
            </w:pPr>
            <w:r>
              <w:rPr>
                <w:b/>
                <w:sz w:val="24"/>
              </w:rPr>
              <w:t>Sayısı</w:t>
            </w:r>
          </w:p>
        </w:tc>
      </w:tr>
      <w:tr w:rsidTr="000C5F3E">
        <w:tblPrEx>
          <w:tblW w:w="0" w:type="auto"/>
          <w:tblInd w:w="1401" w:type="dxa"/>
          <w:tblLayout w:type="fixed"/>
          <w:tblLook w:val="01E0"/>
        </w:tblPrEx>
        <w:trPr>
          <w:trHeight w:val="465"/>
        </w:trPr>
        <w:tc>
          <w:tcPr>
            <w:tcW w:w="562" w:type="dxa"/>
          </w:tcPr>
          <w:p w:rsidR="00BC46B7" w:rsidP="00775209">
            <w:pPr>
              <w:pStyle w:val="TableParagraph"/>
              <w:spacing w:line="276" w:lineRule="auto"/>
              <w:ind w:left="115"/>
              <w:rPr>
                <w:sz w:val="24"/>
              </w:rPr>
            </w:pPr>
            <w:r>
              <w:rPr>
                <w:sz w:val="24"/>
              </w:rPr>
              <w:t>1.</w:t>
            </w:r>
          </w:p>
        </w:tc>
        <w:tc>
          <w:tcPr>
            <w:tcW w:w="3099" w:type="dxa"/>
          </w:tcPr>
          <w:p w:rsidR="00BC46B7" w:rsidP="00775209">
            <w:pPr>
              <w:pStyle w:val="TableParagraph"/>
              <w:spacing w:line="276" w:lineRule="auto"/>
              <w:rPr>
                <w:sz w:val="24"/>
              </w:rPr>
            </w:pPr>
          </w:p>
        </w:tc>
        <w:tc>
          <w:tcPr>
            <w:tcW w:w="3053" w:type="dxa"/>
          </w:tcPr>
          <w:p w:rsidR="00BC46B7" w:rsidP="00775209">
            <w:pPr>
              <w:pStyle w:val="TableParagraph"/>
              <w:spacing w:line="276" w:lineRule="auto"/>
              <w:rPr>
                <w:sz w:val="24"/>
              </w:rPr>
            </w:pPr>
          </w:p>
        </w:tc>
      </w:tr>
      <w:tr w:rsidTr="000C5F3E">
        <w:tblPrEx>
          <w:tblW w:w="0" w:type="auto"/>
          <w:tblInd w:w="1401" w:type="dxa"/>
          <w:tblLayout w:type="fixed"/>
          <w:tblLook w:val="01E0"/>
        </w:tblPrEx>
        <w:trPr>
          <w:trHeight w:val="465"/>
        </w:trPr>
        <w:tc>
          <w:tcPr>
            <w:tcW w:w="562" w:type="dxa"/>
          </w:tcPr>
          <w:p w:rsidR="00BC46B7" w:rsidP="00775209">
            <w:pPr>
              <w:pStyle w:val="TableParagraph"/>
              <w:spacing w:line="276" w:lineRule="auto"/>
              <w:ind w:left="115"/>
              <w:rPr>
                <w:sz w:val="24"/>
              </w:rPr>
            </w:pPr>
            <w:r>
              <w:rPr>
                <w:sz w:val="24"/>
              </w:rPr>
              <w:t>2.</w:t>
            </w:r>
          </w:p>
        </w:tc>
        <w:tc>
          <w:tcPr>
            <w:tcW w:w="3099" w:type="dxa"/>
          </w:tcPr>
          <w:p w:rsidR="00BC46B7" w:rsidP="00775209">
            <w:pPr>
              <w:pStyle w:val="TableParagraph"/>
              <w:spacing w:line="276" w:lineRule="auto"/>
              <w:rPr>
                <w:sz w:val="24"/>
              </w:rPr>
            </w:pPr>
          </w:p>
        </w:tc>
        <w:tc>
          <w:tcPr>
            <w:tcW w:w="3053" w:type="dxa"/>
          </w:tcPr>
          <w:p w:rsidR="00BC46B7" w:rsidP="00775209">
            <w:pPr>
              <w:pStyle w:val="TableParagraph"/>
              <w:spacing w:line="276" w:lineRule="auto"/>
              <w:rPr>
                <w:sz w:val="24"/>
              </w:rPr>
            </w:pPr>
          </w:p>
        </w:tc>
      </w:tr>
      <w:tr w:rsidTr="000C5F3E">
        <w:tblPrEx>
          <w:tblW w:w="0" w:type="auto"/>
          <w:tblInd w:w="1401" w:type="dxa"/>
          <w:tblLayout w:type="fixed"/>
          <w:tblLook w:val="01E0"/>
        </w:tblPrEx>
        <w:trPr>
          <w:trHeight w:val="465"/>
        </w:trPr>
        <w:tc>
          <w:tcPr>
            <w:tcW w:w="562" w:type="dxa"/>
          </w:tcPr>
          <w:p w:rsidR="00BC46B7" w:rsidP="00775209">
            <w:pPr>
              <w:pStyle w:val="TableParagraph"/>
              <w:spacing w:line="276" w:lineRule="auto"/>
              <w:ind w:left="115"/>
              <w:rPr>
                <w:sz w:val="24"/>
              </w:rPr>
            </w:pPr>
            <w:r>
              <w:rPr>
                <w:sz w:val="24"/>
              </w:rPr>
              <w:t>3.</w:t>
            </w:r>
          </w:p>
        </w:tc>
        <w:tc>
          <w:tcPr>
            <w:tcW w:w="3099" w:type="dxa"/>
          </w:tcPr>
          <w:p w:rsidR="00BC46B7" w:rsidP="00775209">
            <w:pPr>
              <w:pStyle w:val="TableParagraph"/>
              <w:spacing w:line="276" w:lineRule="auto"/>
              <w:rPr>
                <w:sz w:val="24"/>
              </w:rPr>
            </w:pPr>
          </w:p>
        </w:tc>
        <w:tc>
          <w:tcPr>
            <w:tcW w:w="3053" w:type="dxa"/>
          </w:tcPr>
          <w:p w:rsidR="00BC46B7" w:rsidP="00775209">
            <w:pPr>
              <w:pStyle w:val="TableParagraph"/>
              <w:spacing w:line="276" w:lineRule="auto"/>
              <w:rPr>
                <w:sz w:val="24"/>
              </w:rPr>
            </w:pPr>
          </w:p>
        </w:tc>
      </w:tr>
    </w:tbl>
    <w:p w:rsidR="00BC46B7" w:rsidP="00775209">
      <w:pPr>
        <w:pStyle w:val="BodyText"/>
        <w:spacing w:line="276" w:lineRule="auto"/>
        <w:ind w:right="366"/>
      </w:pPr>
    </w:p>
    <w:p w:rsidR="00751DE3" w:rsidP="00775209">
      <w:pPr>
        <w:pStyle w:val="BodyText"/>
        <w:spacing w:line="276" w:lineRule="auto"/>
        <w:ind w:left="0" w:firstLine="0"/>
        <w:rPr>
          <w:sz w:val="25"/>
        </w:rPr>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P="00775209">
      <w:pPr>
        <w:spacing w:after="0" w:line="276" w:lineRule="auto"/>
      </w:pPr>
    </w:p>
    <w:p w:rsidR="00A6081E" w:rsidRPr="00A6081E" w:rsidP="00775209">
      <w:pPr>
        <w:spacing w:after="0" w:line="276" w:lineRule="auto"/>
      </w:pPr>
    </w:p>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KYS.YNG.053</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YAZ OKULU YÖNERGESİ</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4EFB"/>
    <w:multiLevelType w:val="hybridMultilevel"/>
    <w:tmpl w:val="A538E74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3537B7"/>
    <w:multiLevelType w:val="hybridMultilevel"/>
    <w:tmpl w:val="4948A332"/>
    <w:lvl w:ilvl="0">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2">
    <w:nsid w:val="23A07BCB"/>
    <w:multiLevelType w:val="hybridMultilevel"/>
    <w:tmpl w:val="D5AE1160"/>
    <w:lvl w:ilvl="0">
      <w:start w:val="2"/>
      <w:numFmt w:val="decimal"/>
      <w:lvlText w:val="(%1)"/>
      <w:lvlJc w:val="left"/>
      <w:pPr>
        <w:ind w:left="100" w:hanging="281"/>
        <w:jc w:val="left"/>
      </w:pPr>
      <w:rPr>
        <w:rFonts w:ascii="Times New Roman" w:eastAsia="Times New Roman" w:hAnsi="Times New Roman" w:cs="Times New Roman" w:hint="default"/>
        <w:spacing w:val="-3"/>
        <w:w w:val="100"/>
        <w:sz w:val="22"/>
        <w:szCs w:val="22"/>
        <w:lang w:val="tr-TR" w:eastAsia="tr-TR" w:bidi="tr-TR"/>
      </w:rPr>
    </w:lvl>
    <w:lvl w:ilvl="1">
      <w:start w:val="0"/>
      <w:numFmt w:val="bullet"/>
      <w:lvlText w:val="•"/>
      <w:lvlJc w:val="left"/>
      <w:pPr>
        <w:ind w:left="1048" w:hanging="281"/>
      </w:pPr>
      <w:rPr>
        <w:rFonts w:hint="default"/>
        <w:lang w:val="tr-TR" w:eastAsia="tr-TR" w:bidi="tr-TR"/>
      </w:rPr>
    </w:lvl>
    <w:lvl w:ilvl="2">
      <w:start w:val="0"/>
      <w:numFmt w:val="bullet"/>
      <w:lvlText w:val="•"/>
      <w:lvlJc w:val="left"/>
      <w:pPr>
        <w:ind w:left="1996" w:hanging="281"/>
      </w:pPr>
      <w:rPr>
        <w:rFonts w:hint="default"/>
        <w:lang w:val="tr-TR" w:eastAsia="tr-TR" w:bidi="tr-TR"/>
      </w:rPr>
    </w:lvl>
    <w:lvl w:ilvl="3">
      <w:start w:val="0"/>
      <w:numFmt w:val="bullet"/>
      <w:lvlText w:val="•"/>
      <w:lvlJc w:val="left"/>
      <w:pPr>
        <w:ind w:left="2944" w:hanging="281"/>
      </w:pPr>
      <w:rPr>
        <w:rFonts w:hint="default"/>
        <w:lang w:val="tr-TR" w:eastAsia="tr-TR" w:bidi="tr-TR"/>
      </w:rPr>
    </w:lvl>
    <w:lvl w:ilvl="4">
      <w:start w:val="0"/>
      <w:numFmt w:val="bullet"/>
      <w:lvlText w:val="•"/>
      <w:lvlJc w:val="left"/>
      <w:pPr>
        <w:ind w:left="3892" w:hanging="281"/>
      </w:pPr>
      <w:rPr>
        <w:rFonts w:hint="default"/>
        <w:lang w:val="tr-TR" w:eastAsia="tr-TR" w:bidi="tr-TR"/>
      </w:rPr>
    </w:lvl>
    <w:lvl w:ilvl="5">
      <w:start w:val="0"/>
      <w:numFmt w:val="bullet"/>
      <w:lvlText w:val="•"/>
      <w:lvlJc w:val="left"/>
      <w:pPr>
        <w:ind w:left="4840" w:hanging="281"/>
      </w:pPr>
      <w:rPr>
        <w:rFonts w:hint="default"/>
        <w:lang w:val="tr-TR" w:eastAsia="tr-TR" w:bidi="tr-TR"/>
      </w:rPr>
    </w:lvl>
    <w:lvl w:ilvl="6">
      <w:start w:val="0"/>
      <w:numFmt w:val="bullet"/>
      <w:lvlText w:val="•"/>
      <w:lvlJc w:val="left"/>
      <w:pPr>
        <w:ind w:left="5788" w:hanging="281"/>
      </w:pPr>
      <w:rPr>
        <w:rFonts w:hint="default"/>
        <w:lang w:val="tr-TR" w:eastAsia="tr-TR" w:bidi="tr-TR"/>
      </w:rPr>
    </w:lvl>
    <w:lvl w:ilvl="7">
      <w:start w:val="0"/>
      <w:numFmt w:val="bullet"/>
      <w:lvlText w:val="•"/>
      <w:lvlJc w:val="left"/>
      <w:pPr>
        <w:ind w:left="6736" w:hanging="281"/>
      </w:pPr>
      <w:rPr>
        <w:rFonts w:hint="default"/>
        <w:lang w:val="tr-TR" w:eastAsia="tr-TR" w:bidi="tr-TR"/>
      </w:rPr>
    </w:lvl>
    <w:lvl w:ilvl="8">
      <w:start w:val="0"/>
      <w:numFmt w:val="bullet"/>
      <w:lvlText w:val="•"/>
      <w:lvlJc w:val="left"/>
      <w:pPr>
        <w:ind w:left="7684" w:hanging="281"/>
      </w:pPr>
      <w:rPr>
        <w:rFonts w:hint="default"/>
        <w:lang w:val="tr-TR" w:eastAsia="tr-TR" w:bidi="tr-TR"/>
      </w:rPr>
    </w:lvl>
  </w:abstractNum>
  <w:abstractNum w:abstractNumId="3">
    <w:nsid w:val="2F0045FB"/>
    <w:multiLevelType w:val="hybridMultilevel"/>
    <w:tmpl w:val="882EEBB4"/>
    <w:lvl w:ilvl="0">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4">
    <w:nsid w:val="3274553D"/>
    <w:multiLevelType w:val="hybridMultilevel"/>
    <w:tmpl w:val="7C2AF5C4"/>
    <w:lvl w:ilvl="0">
      <w:start w:val="1"/>
      <w:numFmt w:val="lowerLetter"/>
      <w:lvlText w:val="%1)"/>
      <w:lvlJc w:val="left"/>
      <w:pPr>
        <w:ind w:left="3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8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7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9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4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5">
    <w:nsid w:val="41383E99"/>
    <w:multiLevelType w:val="hybridMultilevel"/>
    <w:tmpl w:val="5AC4AA36"/>
    <w:lvl w:ilvl="0">
      <w:start w:val="1"/>
      <w:numFmt w:val="lowerLetter"/>
      <w:lvlText w:val="%1)"/>
      <w:lvlJc w:val="left"/>
      <w:pPr>
        <w:ind w:left="1298" w:hanging="346"/>
      </w:pPr>
      <w:rPr>
        <w:rFonts w:ascii="Times New Roman" w:eastAsia="Times New Roman" w:hAnsi="Times New Roman" w:cs="Times New Roman" w:hint="default"/>
        <w:spacing w:val="-18"/>
        <w:w w:val="100"/>
        <w:sz w:val="24"/>
        <w:szCs w:val="24"/>
        <w:lang w:val="tr-TR" w:eastAsia="tr-TR" w:bidi="tr-TR"/>
      </w:rPr>
    </w:lvl>
    <w:lvl w:ilvl="1">
      <w:start w:val="0"/>
      <w:numFmt w:val="bullet"/>
      <w:lvlText w:val="•"/>
      <w:lvlJc w:val="left"/>
      <w:pPr>
        <w:ind w:left="2128" w:hanging="346"/>
      </w:pPr>
      <w:rPr>
        <w:rFonts w:hint="default"/>
        <w:lang w:val="tr-TR" w:eastAsia="tr-TR" w:bidi="tr-TR"/>
      </w:rPr>
    </w:lvl>
    <w:lvl w:ilvl="2">
      <w:start w:val="0"/>
      <w:numFmt w:val="bullet"/>
      <w:lvlText w:val="•"/>
      <w:lvlJc w:val="left"/>
      <w:pPr>
        <w:ind w:left="2956" w:hanging="346"/>
      </w:pPr>
      <w:rPr>
        <w:rFonts w:hint="default"/>
        <w:lang w:val="tr-TR" w:eastAsia="tr-TR" w:bidi="tr-TR"/>
      </w:rPr>
    </w:lvl>
    <w:lvl w:ilvl="3">
      <w:start w:val="0"/>
      <w:numFmt w:val="bullet"/>
      <w:lvlText w:val="•"/>
      <w:lvlJc w:val="left"/>
      <w:pPr>
        <w:ind w:left="3784" w:hanging="346"/>
      </w:pPr>
      <w:rPr>
        <w:rFonts w:hint="default"/>
        <w:lang w:val="tr-TR" w:eastAsia="tr-TR" w:bidi="tr-TR"/>
      </w:rPr>
    </w:lvl>
    <w:lvl w:ilvl="4">
      <w:start w:val="0"/>
      <w:numFmt w:val="bullet"/>
      <w:lvlText w:val="•"/>
      <w:lvlJc w:val="left"/>
      <w:pPr>
        <w:ind w:left="4612" w:hanging="346"/>
      </w:pPr>
      <w:rPr>
        <w:rFonts w:hint="default"/>
        <w:lang w:val="tr-TR" w:eastAsia="tr-TR" w:bidi="tr-TR"/>
      </w:rPr>
    </w:lvl>
    <w:lvl w:ilvl="5">
      <w:start w:val="0"/>
      <w:numFmt w:val="bullet"/>
      <w:lvlText w:val="•"/>
      <w:lvlJc w:val="left"/>
      <w:pPr>
        <w:ind w:left="5440" w:hanging="346"/>
      </w:pPr>
      <w:rPr>
        <w:rFonts w:hint="default"/>
        <w:lang w:val="tr-TR" w:eastAsia="tr-TR" w:bidi="tr-TR"/>
      </w:rPr>
    </w:lvl>
    <w:lvl w:ilvl="6">
      <w:start w:val="0"/>
      <w:numFmt w:val="bullet"/>
      <w:lvlText w:val="•"/>
      <w:lvlJc w:val="left"/>
      <w:pPr>
        <w:ind w:left="6268" w:hanging="346"/>
      </w:pPr>
      <w:rPr>
        <w:rFonts w:hint="default"/>
        <w:lang w:val="tr-TR" w:eastAsia="tr-TR" w:bidi="tr-TR"/>
      </w:rPr>
    </w:lvl>
    <w:lvl w:ilvl="7">
      <w:start w:val="0"/>
      <w:numFmt w:val="bullet"/>
      <w:lvlText w:val="•"/>
      <w:lvlJc w:val="left"/>
      <w:pPr>
        <w:ind w:left="7096" w:hanging="346"/>
      </w:pPr>
      <w:rPr>
        <w:rFonts w:hint="default"/>
        <w:lang w:val="tr-TR" w:eastAsia="tr-TR" w:bidi="tr-TR"/>
      </w:rPr>
    </w:lvl>
    <w:lvl w:ilvl="8">
      <w:start w:val="0"/>
      <w:numFmt w:val="bullet"/>
      <w:lvlText w:val="•"/>
      <w:lvlJc w:val="left"/>
      <w:pPr>
        <w:ind w:left="7924" w:hanging="346"/>
      </w:pPr>
      <w:rPr>
        <w:rFonts w:hint="default"/>
        <w:lang w:val="tr-TR" w:eastAsia="tr-TR" w:bidi="tr-TR"/>
      </w:rPr>
    </w:lvl>
  </w:abstractNum>
  <w:abstractNum w:abstractNumId="6">
    <w:nsid w:val="564A0D94"/>
    <w:multiLevelType w:val="hybridMultilevel"/>
    <w:tmpl w:val="4274CB7C"/>
    <w:lvl w:ilvl="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num w:numId="1">
    <w:abstractNumId w:val="0"/>
  </w:num>
  <w:num w:numId="2">
    <w:abstractNumId w:val="3"/>
  </w:num>
  <w:num w:numId="3">
    <w:abstractNumId w:val="4"/>
  </w:num>
  <w:num w:numId="4">
    <w:abstractNumId w:val="6"/>
  </w:num>
  <w:num w:numId="5">
    <w:abstractNumId w:val="1"/>
  </w:num>
  <w:num w:numId="6">
    <w:abstractNumId w:val="3"/>
    <w:lvlOverride w:ilvl="0">
      <w:startOverride w:val="1"/>
    </w:lvlOverride>
  </w:num>
  <w:num w:numId="7">
    <w:abstractNumId w:val="3"/>
    <w:lvlOverride w:ilvl="0">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358B3"/>
    <w:rsid w:val="00184064"/>
    <w:rsid w:val="00216C5A"/>
    <w:rsid w:val="00266EAE"/>
    <w:rsid w:val="00274C61"/>
    <w:rsid w:val="003F3719"/>
    <w:rsid w:val="005A72B4"/>
    <w:rsid w:val="006F3C0B"/>
    <w:rsid w:val="00751DE3"/>
    <w:rsid w:val="00775209"/>
    <w:rsid w:val="00A6081E"/>
    <w:rsid w:val="00AE75CC"/>
    <w:rsid w:val="00BC46B7"/>
    <w:rsid w:val="00BD1C18"/>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Heading1">
    <w:name w:val="heading 1"/>
    <w:basedOn w:val="Normal"/>
    <w:link w:val="Balk1Char"/>
    <w:uiPriority w:val="9"/>
    <w:qFormat/>
    <w:rsid w:val="000358B3"/>
    <w:pPr>
      <w:widowControl w:val="0"/>
      <w:autoSpaceDE w:val="0"/>
      <w:autoSpaceDN w:val="0"/>
      <w:spacing w:after="0"/>
      <w:ind w:left="952"/>
      <w:jc w:val="left"/>
      <w:outlineLvl w:val="0"/>
    </w:pPr>
    <w:rPr>
      <w:rFonts w:eastAsia="Times New Roman" w:cs="Times New Roman"/>
      <w:b/>
      <w:bCs/>
      <w:szCs w:val="24"/>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1"/>
    <w:qFormat/>
    <w:rsid w:val="00BD1C18"/>
    <w:pPr>
      <w:shd w:val="clear" w:color="auto" w:fill="FFFFFF"/>
      <w:ind w:left="720"/>
      <w:contextualSpacing/>
    </w:pPr>
    <w:rPr>
      <w:rFonts w:eastAsia="Times New Roman" w:cs="Times New Roman"/>
      <w:color w:val="333333"/>
      <w:sz w:val="20"/>
      <w:szCs w:val="20"/>
      <w:lang w:eastAsia="tr-TR"/>
    </w:rPr>
  </w:style>
  <w:style w:type="paragraph" w:styleId="BalloonText">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Grid0">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2"/>
      </w:numPr>
      <w:tabs>
        <w:tab w:val="left" w:pos="851"/>
      </w:tabs>
      <w:ind w:left="0" w:firstLine="567"/>
    </w:pPr>
  </w:style>
  <w:style w:type="paragraph" w:customStyle="1" w:styleId="ISOBalk">
    <w:name w:val="ISO İç Başlık"/>
    <w:basedOn w:val="ISOParagraf"/>
    <w:qFormat/>
    <w:rsid w:val="005E2315"/>
    <w:rPr>
      <w:b/>
      <w:bCs w:val="0"/>
    </w:rPr>
  </w:style>
  <w:style w:type="character" w:customStyle="1" w:styleId="Balk1Char">
    <w:name w:val="Başlık 1 Char"/>
    <w:basedOn w:val="DefaultParagraphFont"/>
    <w:link w:val="Heading1"/>
    <w:uiPriority w:val="9"/>
    <w:rsid w:val="000358B3"/>
    <w:rPr>
      <w:rFonts w:ascii="Times New Roman" w:eastAsia="Times New Roman" w:hAnsi="Times New Roman" w:cs="Times New Roman"/>
      <w:b/>
      <w:bCs/>
      <w:sz w:val="24"/>
      <w:szCs w:val="24"/>
      <w:lang w:eastAsia="tr-TR" w:bidi="tr-TR"/>
    </w:rPr>
  </w:style>
  <w:style w:type="paragraph" w:styleId="BodyText">
    <w:name w:val="Body Text"/>
    <w:basedOn w:val="Normal"/>
    <w:link w:val="GvdeMetniChar"/>
    <w:uiPriority w:val="1"/>
    <w:qFormat/>
    <w:rsid w:val="000358B3"/>
    <w:pPr>
      <w:widowControl w:val="0"/>
      <w:autoSpaceDE w:val="0"/>
      <w:autoSpaceDN w:val="0"/>
      <w:spacing w:after="0"/>
      <w:ind w:left="100" w:firstLine="852"/>
      <w:jc w:val="left"/>
    </w:pPr>
    <w:rPr>
      <w:rFonts w:eastAsia="Times New Roman" w:cs="Times New Roman"/>
      <w:szCs w:val="24"/>
      <w:lang w:eastAsia="tr-TR" w:bidi="tr-TR"/>
    </w:rPr>
  </w:style>
  <w:style w:type="character" w:customStyle="1" w:styleId="GvdeMetniChar">
    <w:name w:val="Gövde Metni Char"/>
    <w:basedOn w:val="DefaultParagraphFont"/>
    <w:link w:val="BodyText"/>
    <w:uiPriority w:val="1"/>
    <w:rsid w:val="000358B3"/>
    <w:rPr>
      <w:rFonts w:ascii="Times New Roman" w:eastAsia="Times New Roman" w:hAnsi="Times New Roman" w:cs="Times New Roman"/>
      <w:sz w:val="24"/>
      <w:szCs w:val="24"/>
      <w:lang w:eastAsia="tr-TR" w:bidi="tr-TR"/>
    </w:rPr>
  </w:style>
  <w:style w:type="table" w:customStyle="1" w:styleId="TableNormal0">
    <w:name w:val="Table Normal_0"/>
    <w:uiPriority w:val="2"/>
    <w:semiHidden/>
    <w:unhideWhenUsed/>
    <w:qFormat/>
    <w:rsid w:val="00BC46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46B7"/>
    <w:pPr>
      <w:widowControl w:val="0"/>
      <w:autoSpaceDE w:val="0"/>
      <w:autoSpaceDN w:val="0"/>
      <w:spacing w:after="0"/>
      <w:jc w:val="left"/>
    </w:pPr>
    <w:rPr>
      <w:rFonts w:eastAsia="Times New Roman" w:cs="Times New Roman"/>
      <w:sz w:val="22"/>
      <w:lang w:eastAsia="tr-TR" w:bidi="tr-TR"/>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1092</Words>
  <Characters>6227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Banu UMUT</cp:lastModifiedBy>
  <cp:revision>14</cp:revision>
  <cp:lastPrinted>2023-07-10T14:01:00Z</cp:lastPrinted>
  <dcterms:created xsi:type="dcterms:W3CDTF">2023-07-26T11:32:00Z</dcterms:created>
  <dcterms:modified xsi:type="dcterms:W3CDTF">2023-08-16T12:28:00Z</dcterms:modified>
</cp:coreProperties>
</file>